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44043AD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A34E56">
        <w:rPr>
          <w:rFonts w:ascii="Calibri" w:hAnsi="Calibri"/>
        </w:rPr>
        <w:t>ENAV24-3.3.2</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6D3C21E8"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sidRPr="007A395D">
        <w:rPr>
          <w:rFonts w:ascii="Calibri" w:hAnsi="Calibri" w:cs="Arial"/>
          <w:b/>
          <w:sz w:val="24"/>
          <w:szCs w:val="24"/>
        </w:rPr>
        <w:t>□</w:t>
      </w:r>
      <w:r w:rsidRPr="007A395D">
        <w:rPr>
          <w:rFonts w:ascii="Calibri" w:hAnsi="Calibri" w:cs="Arial"/>
          <w:sz w:val="24"/>
          <w:szCs w:val="24"/>
        </w:rPr>
        <w:t xml:space="preserve">  Input</w:t>
      </w:r>
    </w:p>
    <w:p w14:paraId="0BC79547" w14:textId="1F80B5C5" w:rsidR="0080294B" w:rsidRPr="007A395D" w:rsidRDefault="00A34E56"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Pr="007A395D">
        <w:rPr>
          <w:rFonts w:ascii="Calibri" w:hAnsi="Calibri" w:cs="Arial"/>
          <w:b/>
          <w:sz w:val="24"/>
          <w:szCs w:val="24"/>
        </w:rPr>
        <w:t>□</w:t>
      </w:r>
      <w:bookmarkStart w:id="0" w:name="_GoBack"/>
      <w:bookmarkEnd w:id="0"/>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565F3">
        <w:rPr>
          <w:rFonts w:ascii="Calibri" w:hAnsi="Calibri" w:cs="Arial"/>
          <w:b/>
          <w:sz w:val="24"/>
          <w:szCs w:val="24"/>
        </w:rPr>
        <w:t>X</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F5E3372"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F0B9A">
        <w:rPr>
          <w:rFonts w:ascii="Calibri" w:hAnsi="Calibri"/>
        </w:rPr>
        <w:t>4</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BF9303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16337D">
        <w:rPr>
          <w:rFonts w:ascii="Calibri" w:hAnsi="Calibri"/>
        </w:rPr>
        <w:t>IALA Secretariat</w:t>
      </w:r>
    </w:p>
    <w:p w14:paraId="60BCC120" w14:textId="77777777" w:rsidR="0080294B" w:rsidRPr="007A395D" w:rsidRDefault="0080294B" w:rsidP="00FE5674">
      <w:pPr>
        <w:pStyle w:val="BodyText"/>
        <w:tabs>
          <w:tab w:val="left" w:pos="2835"/>
        </w:tabs>
        <w:rPr>
          <w:rFonts w:ascii="Calibri" w:hAnsi="Calibri"/>
        </w:rPr>
      </w:pPr>
    </w:p>
    <w:p w14:paraId="4834080C" w14:textId="107069A2" w:rsidR="00A446C9" w:rsidRPr="00605E43" w:rsidRDefault="0016337D" w:rsidP="00A446C9">
      <w:pPr>
        <w:pStyle w:val="Title"/>
        <w:rPr>
          <w:rFonts w:ascii="Calibri" w:hAnsi="Calibri"/>
          <w:color w:val="0070C0"/>
        </w:rPr>
      </w:pPr>
      <w:r>
        <w:rPr>
          <w:rFonts w:ascii="Calibri" w:hAnsi="Calibri"/>
          <w:color w:val="0070C0"/>
        </w:rPr>
        <w:t xml:space="preserve">IALA </w:t>
      </w:r>
      <w:r w:rsidR="00DF6092">
        <w:rPr>
          <w:rFonts w:ascii="Calibri" w:hAnsi="Calibri"/>
          <w:color w:val="0070C0"/>
        </w:rPr>
        <w:t>report on the IMO Maritime Safety Committee (MSC101)</w:t>
      </w:r>
    </w:p>
    <w:p w14:paraId="0F258596" w14:textId="50FB6E37" w:rsidR="00A446C9" w:rsidRPr="00605E43" w:rsidRDefault="00A446C9" w:rsidP="00605E43">
      <w:pPr>
        <w:pStyle w:val="Heading1"/>
      </w:pPr>
      <w:r w:rsidRPr="00605E43">
        <w:t>Summary</w:t>
      </w:r>
    </w:p>
    <w:p w14:paraId="423C3553" w14:textId="7F8B0EFB" w:rsidR="00B565F3" w:rsidRPr="00B565F3" w:rsidRDefault="005E30CF" w:rsidP="00B565F3">
      <w:pPr>
        <w:pStyle w:val="BodyText"/>
        <w:rPr>
          <w:rFonts w:asciiTheme="minorHAnsi" w:hAnsiTheme="minorHAnsi" w:cstheme="minorHAnsi"/>
        </w:rPr>
      </w:pPr>
      <w:r w:rsidRPr="00B565F3">
        <w:rPr>
          <w:rFonts w:asciiTheme="minorHAnsi" w:hAnsiTheme="minorHAnsi" w:cstheme="minorHAnsi"/>
        </w:rPr>
        <w:t>The one hundred-first session of the IMO Maritime Safety Committee (MSC) was held at IMO HQ London from 5th to 14th June 2019, chaired by Mr Brad Groves (Australia), supported by the vice-chair, Mr Juan Carlos Cubisino (Argentina). The IALA delegation was headed by the Technical Operations Manager, Minsu Jeon.</w:t>
      </w:r>
    </w:p>
    <w:p w14:paraId="0F9D19D7" w14:textId="77777777" w:rsidR="005E30CF" w:rsidRPr="00B565F3" w:rsidRDefault="005E30CF" w:rsidP="00B565F3">
      <w:pPr>
        <w:pStyle w:val="BodyText"/>
        <w:rPr>
          <w:rFonts w:asciiTheme="minorHAnsi" w:hAnsiTheme="minorHAnsi" w:cstheme="minorHAnsi"/>
        </w:rPr>
      </w:pPr>
      <w:r w:rsidRPr="00B565F3">
        <w:rPr>
          <w:rFonts w:asciiTheme="minorHAnsi" w:hAnsiTheme="minorHAnsi" w:cstheme="minorHAnsi"/>
        </w:rPr>
        <w:t>IALA had submitted two papers to the meeting;</w:t>
      </w:r>
    </w:p>
    <w:p w14:paraId="18F5048E" w14:textId="67270CF0"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101/23/11 Progress on the review of the Guidelines for Vessel Traffic Services (resolution A.857(20))</w:t>
      </w:r>
      <w:r w:rsidR="00B565F3">
        <w:rPr>
          <w:rFonts w:asciiTheme="minorHAnsi" w:hAnsiTheme="minorHAnsi" w:cstheme="minorHAnsi"/>
        </w:rPr>
        <w:t>; and</w:t>
      </w:r>
    </w:p>
    <w:p w14:paraId="0ABC7EF3" w14:textId="6028392A" w:rsidR="005E30CF" w:rsidRPr="00B565F3" w:rsidRDefault="005E30CF" w:rsidP="00B565F3">
      <w:pPr>
        <w:pStyle w:val="BodyText"/>
        <w:numPr>
          <w:ilvl w:val="0"/>
          <w:numId w:val="49"/>
        </w:numPr>
        <w:rPr>
          <w:rFonts w:asciiTheme="minorHAnsi" w:hAnsiTheme="minorHAnsi" w:cstheme="minorHAnsi"/>
        </w:rPr>
      </w:pPr>
      <w:r w:rsidRPr="00B565F3">
        <w:rPr>
          <w:rFonts w:asciiTheme="minorHAnsi" w:hAnsiTheme="minorHAnsi" w:cstheme="minorHAnsi"/>
        </w:rPr>
        <w:t>MSC 101/INF.8 - World Marine Aids to Navigation Day</w:t>
      </w:r>
      <w:r w:rsidR="00B565F3">
        <w:rPr>
          <w:rFonts w:asciiTheme="minorHAnsi" w:hAnsiTheme="minorHAnsi" w:cstheme="minorHAnsi"/>
        </w:rPr>
        <w:t>.</w:t>
      </w:r>
    </w:p>
    <w:p w14:paraId="45D9966E" w14:textId="77777777" w:rsidR="00B565F3" w:rsidRPr="00B565F3" w:rsidRDefault="00B565F3" w:rsidP="00B565F3">
      <w:pPr>
        <w:pStyle w:val="Heading1"/>
        <w:rPr>
          <w:rFonts w:asciiTheme="minorHAnsi" w:hAnsiTheme="minorHAnsi" w:cstheme="minorBidi"/>
        </w:rPr>
      </w:pPr>
      <w:r w:rsidRPr="00B565F3">
        <w:t xml:space="preserve">Progress on the review of the Guidelines for VTS Resolution A.857(20) </w:t>
      </w:r>
    </w:p>
    <w:p w14:paraId="6A723D64"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Regarding the input from IALA, the MSC recalled that MSC 99 considered the document MSC 99/20/3 on proposal for a new output for a revision of resolution A.857(20) on Guidelines for VTS and agreed to include it in the MSCʹs post-biennial agenda, assigning the NCSR as the coordinating organ. </w:t>
      </w:r>
    </w:p>
    <w:p w14:paraId="0327F941" w14:textId="1A634667" w:rsidR="003B6CCB" w:rsidRDefault="00B565F3" w:rsidP="00B565F3">
      <w:pPr>
        <w:pStyle w:val="BodyText"/>
        <w:rPr>
          <w:rFonts w:asciiTheme="minorHAnsi" w:hAnsiTheme="minorHAnsi" w:cstheme="minorHAnsi"/>
        </w:rPr>
      </w:pPr>
      <w:r w:rsidRPr="00B565F3">
        <w:rPr>
          <w:rFonts w:asciiTheme="minorHAnsi" w:hAnsiTheme="minorHAnsi" w:cstheme="minorHAnsi"/>
        </w:rPr>
        <w:t xml:space="preserve">Following consideration of the document MSC 101/23/11 from IALA, providing an update on the activities undertaken by IALA with respect to the revision of the aforementioned Guidelines, MSC noted the tasks undertaken by IALA and the progress made with the revision of the Guidelines; and invited interested Member States and international organizations to participate in the IALA seminar on the revision of the Guidelines for vessel traffic services (resolution A.857(20)), to be held on 26 and 27 June 2019 at IALA Headquarters. </w:t>
      </w:r>
    </w:p>
    <w:p w14:paraId="0869554B" w14:textId="77777777" w:rsidR="00B565F3" w:rsidRDefault="00B565F3" w:rsidP="00B565F3">
      <w:pPr>
        <w:pStyle w:val="Heading1"/>
        <w:rPr>
          <w:rFonts w:asciiTheme="minorHAnsi" w:hAnsiTheme="minorHAnsi" w:cstheme="minorBidi"/>
          <w:sz w:val="22"/>
        </w:rPr>
      </w:pPr>
      <w:r>
        <w:t xml:space="preserve">World Marine Aids to Navigation Day </w:t>
      </w:r>
    </w:p>
    <w:p w14:paraId="4BF9D59E" w14:textId="77777777" w:rsidR="00B565F3" w:rsidRPr="00B565F3" w:rsidRDefault="00B565F3" w:rsidP="00B565F3">
      <w:pPr>
        <w:jc w:val="both"/>
        <w:rPr>
          <w:rFonts w:asciiTheme="minorHAnsi" w:hAnsiTheme="minorHAnsi" w:cstheme="minorHAnsi"/>
        </w:rPr>
      </w:pPr>
      <w:r w:rsidRPr="00B565F3">
        <w:rPr>
          <w:rFonts w:asciiTheme="minorHAnsi" w:hAnsiTheme="minorHAnsi" w:cstheme="minorHAnsi"/>
        </w:rPr>
        <w:t>The MSC noted information provided by IALA, MSC 101/INF.8 on the establishment of an IALA World Marine Aids to Navigation Day, to be held on 1 July each year in order to promote a greater awareness of mariners and the wider public of the vital role of Marine Aids to Navigation (AtoN) in ensuring the safety and efficiency of navigation.</w:t>
      </w:r>
    </w:p>
    <w:p w14:paraId="6D90AC77" w14:textId="69967CE0" w:rsidR="00B565F3" w:rsidRDefault="00B565F3" w:rsidP="00B565F3">
      <w:pPr>
        <w:pStyle w:val="BodyText"/>
        <w:rPr>
          <w:rFonts w:asciiTheme="minorHAnsi" w:hAnsiTheme="minorHAnsi" w:cstheme="minorHAnsi"/>
        </w:rPr>
      </w:pPr>
    </w:p>
    <w:p w14:paraId="2EE6FA1C" w14:textId="77777777" w:rsidR="00B565F3" w:rsidRDefault="00B565F3" w:rsidP="00B565F3">
      <w:pPr>
        <w:pStyle w:val="Heading1"/>
        <w:rPr>
          <w:rFonts w:asciiTheme="minorHAnsi" w:hAnsiTheme="minorHAnsi" w:cstheme="minorBidi"/>
          <w:sz w:val="22"/>
        </w:rPr>
      </w:pPr>
      <w:r>
        <w:lastRenderedPageBreak/>
        <w:t>Maritime Services in the context of e-navigation</w:t>
      </w:r>
    </w:p>
    <w:p w14:paraId="6E15C25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“action points” in the NCSR 6 report, document MSC 101/11 all went through. MSC approved two important instruments of a new MSC circular on the S-mode guidelines, and the adoption of an MSC resolution on harmonized presentation of navigational information. </w:t>
      </w:r>
    </w:p>
    <w:p w14:paraId="53CE3A7B"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MSC also related to e-navigation is the Committee’s adoption of a new MSC resolution on “Guidance on the definition and harmonization of the format and structure of Maritime Services in the context of e-navigation”.  These concern shore-based maritime services; the ENAV Committee of IALA already has done work on technical specifications for such services. </w:t>
      </w:r>
    </w:p>
    <w:p w14:paraId="29A672A7"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 xml:space="preserve">The MSC approved initial descriptions including the provisional list of 16 services, prepared by NCSR 6 in Feb 2019 and these are now to be circulated by an MSC circular on “Initial descriptions of Maritime Services in the context of e-navigation”. </w:t>
      </w:r>
    </w:p>
    <w:p w14:paraId="71892EB5"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NCSR 6 recommended input from the FAL Committee which is concerned with facilitation of traffic in and out of ports, etc. and FAL’s feedback on the descriptions of MS 4 – Port Support Service and MS 8 – Vessel Shore Reporting – will be submitted to NCSR 7 next year.</w:t>
      </w:r>
    </w:p>
    <w:p w14:paraId="1B219C09" w14:textId="77777777" w:rsidR="00B565F3" w:rsidRDefault="00B565F3" w:rsidP="00B565F3">
      <w:pPr>
        <w:pStyle w:val="Heading1"/>
        <w:rPr>
          <w:rFonts w:asciiTheme="minorHAnsi" w:hAnsiTheme="minorHAnsi" w:cstheme="minorBidi"/>
          <w:sz w:val="22"/>
        </w:rPr>
      </w:pPr>
      <w:r>
        <w:t xml:space="preserve">Progress made with the MASS regulatory scoping exercise (RSE) </w:t>
      </w:r>
    </w:p>
    <w:p w14:paraId="736BC28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Committee had already agreed a number of basic principles – essentially emphasizing that the guidelines should set high level objectives and be generic, goal-based and functional.</w:t>
      </w:r>
    </w:p>
    <w:p w14:paraId="0813D81F"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RSE terms of reference had been agreed at MSC 100, which requested the IMO Secretariat to establish a web platform for the coordination of this exercise. The results of this exercise – the initial review (Step 1) –  will be reviewed by an intersessional group, scheduled for September 2019; the terms of reference for this intersessional group were to be developed by the MASS working group at MSC 101, while the group’s report will be submitted to MSC 102 in Spring 2020, which will then decide how to proceed with Step 2.</w:t>
      </w:r>
    </w:p>
    <w:p w14:paraId="7C56CD96"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The ISO informed the Committee that it had been working on international standards for autonomy, including terminology, looking at the wider industry, and would submit a paper to MSC 102 in Spring 2020.</w:t>
      </w:r>
    </w:p>
    <w:p w14:paraId="2919F9C4" w14:textId="77777777" w:rsidR="00B565F3" w:rsidRDefault="00B565F3" w:rsidP="00B565F3">
      <w:pPr>
        <w:pStyle w:val="Heading1"/>
      </w:pPr>
      <w:r>
        <w:t>Other matters</w:t>
      </w:r>
    </w:p>
    <w:p w14:paraId="648F9ADC" w14:textId="77777777" w:rsidR="00B565F3" w:rsidRPr="00B565F3" w:rsidRDefault="00B565F3" w:rsidP="00B565F3">
      <w:pPr>
        <w:pStyle w:val="BodyText"/>
        <w:rPr>
          <w:rFonts w:asciiTheme="minorHAnsi" w:hAnsiTheme="minorHAnsi" w:cstheme="minorHAnsi"/>
        </w:rPr>
      </w:pPr>
      <w:r w:rsidRPr="00B565F3">
        <w:rPr>
          <w:rFonts w:asciiTheme="minorHAnsi" w:hAnsiTheme="minorHAnsi" w:cstheme="minorHAnsi"/>
        </w:rPr>
        <w:t>MSC took note of discussions held in MEPC 74 in May 2019 about the loss of containers overboard, from a pollution point of view. It was agreed that MSC also should turn its attention to this issue, from a safety point of view. France, which calls for mandatory reporting of such losses including the location where the containers went overboard, will submit a paper to MSC 102 in Spring 2020.</w:t>
      </w:r>
    </w:p>
    <w:p w14:paraId="7A8D2F27" w14:textId="77777777" w:rsidR="00A446C9" w:rsidRPr="007A395D" w:rsidRDefault="00A446C9" w:rsidP="00605E43">
      <w:pPr>
        <w:pStyle w:val="Heading1"/>
      </w:pPr>
      <w:r w:rsidRPr="007A395D">
        <w:t>Action requested of the Committee</w:t>
      </w:r>
    </w:p>
    <w:p w14:paraId="1556E528" w14:textId="5FEA8411"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5F3D325E" w14:textId="77BF1874" w:rsidR="001E49CB" w:rsidRPr="003B6CCB" w:rsidRDefault="00B565F3" w:rsidP="003B6CCB">
      <w:pPr>
        <w:pStyle w:val="List1"/>
        <w:numPr>
          <w:ilvl w:val="0"/>
          <w:numId w:val="39"/>
        </w:numPr>
        <w:rPr>
          <w:rFonts w:ascii="Calibri" w:hAnsi="Calibri"/>
        </w:rPr>
      </w:pPr>
      <w:r>
        <w:rPr>
          <w:rFonts w:ascii="Calibri" w:hAnsi="Calibri"/>
        </w:rPr>
        <w:t>Note the information provided and take action, as appropriate.</w:t>
      </w:r>
    </w:p>
    <w:p w14:paraId="64807D00" w14:textId="6EA7EE74" w:rsidR="001E49CB" w:rsidRPr="001E49CB" w:rsidRDefault="001E49CB" w:rsidP="007C7389">
      <w:pPr>
        <w:pStyle w:val="AnnexHeading1"/>
        <w:numPr>
          <w:ilvl w:val="0"/>
          <w:numId w:val="0"/>
        </w:numPr>
      </w:pPr>
    </w:p>
    <w:sectPr w:rsidR="001E49CB" w:rsidRPr="001E49CB"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886AB" w14:textId="77777777" w:rsidR="00356C48" w:rsidRDefault="00356C48" w:rsidP="00362CD9">
      <w:r>
        <w:separator/>
      </w:r>
    </w:p>
  </w:endnote>
  <w:endnote w:type="continuationSeparator" w:id="0">
    <w:p w14:paraId="24E162B9" w14:textId="77777777" w:rsidR="00356C48" w:rsidRDefault="00356C4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4F3C054F"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CD3D2F" w14:textId="77777777" w:rsidR="00356C48" w:rsidRDefault="00356C48" w:rsidP="00362CD9">
      <w:r>
        <w:separator/>
      </w:r>
    </w:p>
  </w:footnote>
  <w:footnote w:type="continuationSeparator" w:id="0">
    <w:p w14:paraId="28A04DF9" w14:textId="77777777" w:rsidR="00356C48" w:rsidRDefault="00356C48"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457F5255" w:rsidR="007C346C" w:rsidRDefault="007C3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4086557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6D6E8F60"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38139C"/>
    <w:multiLevelType w:val="multilevel"/>
    <w:tmpl w:val="CC7C35B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3"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4041789"/>
    <w:multiLevelType w:val="multilevel"/>
    <w:tmpl w:val="C8D40BB0"/>
    <w:lvl w:ilvl="0">
      <w:start w:val="1"/>
      <w:numFmt w:val="decimal"/>
      <w:pStyle w:val="List1"/>
      <w:lvlText w:val="%1"/>
      <w:lvlJc w:val="left"/>
      <w:pPr>
        <w:tabs>
          <w:tab w:val="num" w:pos="567"/>
        </w:tabs>
        <w:ind w:left="567" w:hanging="567"/>
      </w:pPr>
      <w:rPr>
        <w:rFonts w:ascii="Calibri" w:hAnsi="Calibri" w:cs="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1A0042E"/>
    <w:multiLevelType w:val="hybridMultilevel"/>
    <w:tmpl w:val="2C6808E0"/>
    <w:lvl w:ilvl="0" w:tplc="04090001">
      <w:start w:val="1"/>
      <w:numFmt w:val="bullet"/>
      <w:lvlText w:val=""/>
      <w:lvlJc w:val="left"/>
      <w:pPr>
        <w:ind w:left="493" w:hanging="360"/>
      </w:pPr>
      <w:rPr>
        <w:rFonts w:ascii="Symbol" w:hAnsi="Symbol" w:hint="default"/>
      </w:rPr>
    </w:lvl>
    <w:lvl w:ilvl="1" w:tplc="04090003" w:tentative="1">
      <w:start w:val="1"/>
      <w:numFmt w:val="bullet"/>
      <w:lvlText w:val="o"/>
      <w:lvlJc w:val="left"/>
      <w:pPr>
        <w:ind w:left="1213" w:hanging="360"/>
      </w:pPr>
      <w:rPr>
        <w:rFonts w:ascii="Courier New" w:hAnsi="Courier New" w:cs="Courier New" w:hint="default"/>
      </w:rPr>
    </w:lvl>
    <w:lvl w:ilvl="2" w:tplc="04090005" w:tentative="1">
      <w:start w:val="1"/>
      <w:numFmt w:val="bullet"/>
      <w:lvlText w:val=""/>
      <w:lvlJc w:val="left"/>
      <w:pPr>
        <w:ind w:left="1933" w:hanging="360"/>
      </w:pPr>
      <w:rPr>
        <w:rFonts w:ascii="Wingdings" w:hAnsi="Wingdings" w:hint="default"/>
      </w:rPr>
    </w:lvl>
    <w:lvl w:ilvl="3" w:tplc="04090001" w:tentative="1">
      <w:start w:val="1"/>
      <w:numFmt w:val="bullet"/>
      <w:lvlText w:val=""/>
      <w:lvlJc w:val="left"/>
      <w:pPr>
        <w:ind w:left="2653" w:hanging="360"/>
      </w:pPr>
      <w:rPr>
        <w:rFonts w:ascii="Symbol" w:hAnsi="Symbol" w:hint="default"/>
      </w:rPr>
    </w:lvl>
    <w:lvl w:ilvl="4" w:tplc="04090003" w:tentative="1">
      <w:start w:val="1"/>
      <w:numFmt w:val="bullet"/>
      <w:lvlText w:val="o"/>
      <w:lvlJc w:val="left"/>
      <w:pPr>
        <w:ind w:left="3373" w:hanging="360"/>
      </w:pPr>
      <w:rPr>
        <w:rFonts w:ascii="Courier New" w:hAnsi="Courier New" w:cs="Courier New" w:hint="default"/>
      </w:rPr>
    </w:lvl>
    <w:lvl w:ilvl="5" w:tplc="04090005" w:tentative="1">
      <w:start w:val="1"/>
      <w:numFmt w:val="bullet"/>
      <w:lvlText w:val=""/>
      <w:lvlJc w:val="left"/>
      <w:pPr>
        <w:ind w:left="4093" w:hanging="360"/>
      </w:pPr>
      <w:rPr>
        <w:rFonts w:ascii="Wingdings" w:hAnsi="Wingdings" w:hint="default"/>
      </w:rPr>
    </w:lvl>
    <w:lvl w:ilvl="6" w:tplc="04090001" w:tentative="1">
      <w:start w:val="1"/>
      <w:numFmt w:val="bullet"/>
      <w:lvlText w:val=""/>
      <w:lvlJc w:val="left"/>
      <w:pPr>
        <w:ind w:left="4813" w:hanging="360"/>
      </w:pPr>
      <w:rPr>
        <w:rFonts w:ascii="Symbol" w:hAnsi="Symbol" w:hint="default"/>
      </w:rPr>
    </w:lvl>
    <w:lvl w:ilvl="7" w:tplc="04090003" w:tentative="1">
      <w:start w:val="1"/>
      <w:numFmt w:val="bullet"/>
      <w:lvlText w:val="o"/>
      <w:lvlJc w:val="left"/>
      <w:pPr>
        <w:ind w:left="5533" w:hanging="360"/>
      </w:pPr>
      <w:rPr>
        <w:rFonts w:ascii="Courier New" w:hAnsi="Courier New" w:cs="Courier New" w:hint="default"/>
      </w:rPr>
    </w:lvl>
    <w:lvl w:ilvl="8" w:tplc="04090005" w:tentative="1">
      <w:start w:val="1"/>
      <w:numFmt w:val="bullet"/>
      <w:lvlText w:val=""/>
      <w:lvlJc w:val="left"/>
      <w:pPr>
        <w:ind w:left="6253" w:hanging="360"/>
      </w:pPr>
      <w:rPr>
        <w:rFonts w:ascii="Wingdings" w:hAnsi="Wingdings" w:hint="default"/>
      </w:r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8" w15:restartNumberingAfterBreak="0">
    <w:nsid w:val="7B19430D"/>
    <w:multiLevelType w:val="hybridMultilevel"/>
    <w:tmpl w:val="44DE8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FA7BEB"/>
    <w:multiLevelType w:val="hybridMultilevel"/>
    <w:tmpl w:val="94A4C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6"/>
  </w:num>
  <w:num w:numId="8">
    <w:abstractNumId w:val="11"/>
  </w:num>
  <w:num w:numId="9">
    <w:abstractNumId w:val="9"/>
  </w:num>
  <w:num w:numId="10">
    <w:abstractNumId w:val="18"/>
  </w:num>
  <w:num w:numId="11">
    <w:abstractNumId w:val="17"/>
  </w:num>
  <w:num w:numId="12">
    <w:abstractNumId w:val="15"/>
  </w:num>
  <w:num w:numId="13">
    <w:abstractNumId w:val="25"/>
  </w:num>
  <w:num w:numId="14">
    <w:abstractNumId w:val="6"/>
  </w:num>
  <w:num w:numId="15">
    <w:abstractNumId w:val="27"/>
  </w:num>
  <w:num w:numId="16">
    <w:abstractNumId w:val="14"/>
  </w:num>
  <w:num w:numId="17">
    <w:abstractNumId w:val="7"/>
  </w:num>
  <w:num w:numId="18">
    <w:abstractNumId w:val="21"/>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0"/>
  </w:num>
  <w:num w:numId="34">
    <w:abstractNumId w:val="20"/>
  </w:num>
  <w:num w:numId="35">
    <w:abstractNumId w:val="20"/>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28"/>
  </w:num>
  <w:num w:numId="46">
    <w:abstractNumId w:val="24"/>
  </w:num>
  <w:num w:numId="47">
    <w:abstractNumId w:val="1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C349E"/>
    <w:rsid w:val="00110AE7"/>
    <w:rsid w:val="0016337D"/>
    <w:rsid w:val="00177F4D"/>
    <w:rsid w:val="00180DDA"/>
    <w:rsid w:val="001B2A2D"/>
    <w:rsid w:val="001B737D"/>
    <w:rsid w:val="001C41E7"/>
    <w:rsid w:val="001C44A3"/>
    <w:rsid w:val="001E0E15"/>
    <w:rsid w:val="001E49CB"/>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17B2"/>
    <w:rsid w:val="00356C48"/>
    <w:rsid w:val="00356CD0"/>
    <w:rsid w:val="00362CD9"/>
    <w:rsid w:val="003761CA"/>
    <w:rsid w:val="00380DAF"/>
    <w:rsid w:val="003972CE"/>
    <w:rsid w:val="003B28F5"/>
    <w:rsid w:val="003B6CCB"/>
    <w:rsid w:val="003B7B7D"/>
    <w:rsid w:val="003C54CB"/>
    <w:rsid w:val="003C7A2A"/>
    <w:rsid w:val="003D2DC1"/>
    <w:rsid w:val="003D69D0"/>
    <w:rsid w:val="003F2918"/>
    <w:rsid w:val="003F430E"/>
    <w:rsid w:val="0041088C"/>
    <w:rsid w:val="00412DD0"/>
    <w:rsid w:val="00420A38"/>
    <w:rsid w:val="00431B19"/>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E30CF"/>
    <w:rsid w:val="005F23D3"/>
    <w:rsid w:val="005F7E20"/>
    <w:rsid w:val="00605E43"/>
    <w:rsid w:val="006153BB"/>
    <w:rsid w:val="006652C3"/>
    <w:rsid w:val="00691FD0"/>
    <w:rsid w:val="00692148"/>
    <w:rsid w:val="006A1A1E"/>
    <w:rsid w:val="006C5948"/>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C7389"/>
    <w:rsid w:val="007E6479"/>
    <w:rsid w:val="0080294B"/>
    <w:rsid w:val="0082480E"/>
    <w:rsid w:val="00850293"/>
    <w:rsid w:val="00851373"/>
    <w:rsid w:val="00851BA6"/>
    <w:rsid w:val="0085654D"/>
    <w:rsid w:val="00861160"/>
    <w:rsid w:val="0086654F"/>
    <w:rsid w:val="008A356F"/>
    <w:rsid w:val="008A4653"/>
    <w:rsid w:val="008A4717"/>
    <w:rsid w:val="008A50CC"/>
    <w:rsid w:val="008B3040"/>
    <w:rsid w:val="008D1694"/>
    <w:rsid w:val="008D79CB"/>
    <w:rsid w:val="008F07BC"/>
    <w:rsid w:val="00902672"/>
    <w:rsid w:val="0092692B"/>
    <w:rsid w:val="00930561"/>
    <w:rsid w:val="00943E9C"/>
    <w:rsid w:val="00953F4D"/>
    <w:rsid w:val="00960BB8"/>
    <w:rsid w:val="00964F5C"/>
    <w:rsid w:val="00973B57"/>
    <w:rsid w:val="00975900"/>
    <w:rsid w:val="009831C0"/>
    <w:rsid w:val="0099161D"/>
    <w:rsid w:val="00A0389B"/>
    <w:rsid w:val="00A33A3C"/>
    <w:rsid w:val="00A34E56"/>
    <w:rsid w:val="00A446C9"/>
    <w:rsid w:val="00A635D6"/>
    <w:rsid w:val="00A8553A"/>
    <w:rsid w:val="00A93AED"/>
    <w:rsid w:val="00AE1319"/>
    <w:rsid w:val="00AE34BB"/>
    <w:rsid w:val="00B226F2"/>
    <w:rsid w:val="00B274DF"/>
    <w:rsid w:val="00B565F3"/>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656F8"/>
    <w:rsid w:val="00CA6F2C"/>
    <w:rsid w:val="00CD6A13"/>
    <w:rsid w:val="00CF1871"/>
    <w:rsid w:val="00D019CE"/>
    <w:rsid w:val="00D1133E"/>
    <w:rsid w:val="00D17A34"/>
    <w:rsid w:val="00D26628"/>
    <w:rsid w:val="00D332B3"/>
    <w:rsid w:val="00D55207"/>
    <w:rsid w:val="00D7720F"/>
    <w:rsid w:val="00D81801"/>
    <w:rsid w:val="00D92B45"/>
    <w:rsid w:val="00D95962"/>
    <w:rsid w:val="00DC389B"/>
    <w:rsid w:val="00DE2FEE"/>
    <w:rsid w:val="00DF0B9A"/>
    <w:rsid w:val="00DF6092"/>
    <w:rsid w:val="00E00BE9"/>
    <w:rsid w:val="00E22A11"/>
    <w:rsid w:val="00E31E5C"/>
    <w:rsid w:val="00E44DD2"/>
    <w:rsid w:val="00E558C3"/>
    <w:rsid w:val="00E55927"/>
    <w:rsid w:val="00E60540"/>
    <w:rsid w:val="00E912A6"/>
    <w:rsid w:val="00EA4844"/>
    <w:rsid w:val="00EA4D9C"/>
    <w:rsid w:val="00EA5A97"/>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185327">
      <w:bodyDiv w:val="1"/>
      <w:marLeft w:val="0"/>
      <w:marRight w:val="0"/>
      <w:marTop w:val="0"/>
      <w:marBottom w:val="0"/>
      <w:divBdr>
        <w:top w:val="none" w:sz="0" w:space="0" w:color="auto"/>
        <w:left w:val="none" w:sz="0" w:space="0" w:color="auto"/>
        <w:bottom w:val="none" w:sz="0" w:space="0" w:color="auto"/>
        <w:right w:val="none" w:sz="0" w:space="0" w:color="auto"/>
      </w:divBdr>
    </w:div>
    <w:div w:id="674116796">
      <w:bodyDiv w:val="1"/>
      <w:marLeft w:val="0"/>
      <w:marRight w:val="0"/>
      <w:marTop w:val="0"/>
      <w:marBottom w:val="0"/>
      <w:divBdr>
        <w:top w:val="none" w:sz="0" w:space="0" w:color="auto"/>
        <w:left w:val="none" w:sz="0" w:space="0" w:color="auto"/>
        <w:bottom w:val="none" w:sz="0" w:space="0" w:color="auto"/>
        <w:right w:val="none" w:sz="0" w:space="0" w:color="auto"/>
      </w:divBdr>
    </w:div>
    <w:div w:id="819466939">
      <w:bodyDiv w:val="1"/>
      <w:marLeft w:val="0"/>
      <w:marRight w:val="0"/>
      <w:marTop w:val="0"/>
      <w:marBottom w:val="0"/>
      <w:divBdr>
        <w:top w:val="none" w:sz="0" w:space="0" w:color="auto"/>
        <w:left w:val="none" w:sz="0" w:space="0" w:color="auto"/>
        <w:bottom w:val="none" w:sz="0" w:space="0" w:color="auto"/>
        <w:right w:val="none" w:sz="0" w:space="0" w:color="auto"/>
      </w:divBdr>
    </w:div>
    <w:div w:id="1001153166">
      <w:bodyDiv w:val="1"/>
      <w:marLeft w:val="0"/>
      <w:marRight w:val="0"/>
      <w:marTop w:val="0"/>
      <w:marBottom w:val="0"/>
      <w:divBdr>
        <w:top w:val="none" w:sz="0" w:space="0" w:color="auto"/>
        <w:left w:val="none" w:sz="0" w:space="0" w:color="auto"/>
        <w:bottom w:val="none" w:sz="0" w:space="0" w:color="auto"/>
        <w:right w:val="none" w:sz="0" w:space="0" w:color="auto"/>
      </w:divBdr>
    </w:div>
    <w:div w:id="1388258275">
      <w:bodyDiv w:val="1"/>
      <w:marLeft w:val="0"/>
      <w:marRight w:val="0"/>
      <w:marTop w:val="0"/>
      <w:marBottom w:val="0"/>
      <w:divBdr>
        <w:top w:val="none" w:sz="0" w:space="0" w:color="auto"/>
        <w:left w:val="none" w:sz="0" w:space="0" w:color="auto"/>
        <w:bottom w:val="none" w:sz="0" w:space="0" w:color="auto"/>
        <w:right w:val="none" w:sz="0" w:space="0" w:color="auto"/>
      </w:divBdr>
    </w:div>
    <w:div w:id="20806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FAE62-FB95-4727-89F6-98E9A4F6C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8</cp:revision>
  <dcterms:created xsi:type="dcterms:W3CDTF">2019-08-07T17:22:00Z</dcterms:created>
  <dcterms:modified xsi:type="dcterms:W3CDTF">2019-08-08T09:37:00Z</dcterms:modified>
</cp:coreProperties>
</file>